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8EE2D" w14:textId="3BBF047D" w:rsidR="00744E17" w:rsidRPr="00744E17" w:rsidRDefault="00744E17">
      <w:pPr>
        <w:spacing w:before="19"/>
        <w:ind w:left="3782" w:right="3660"/>
        <w:jc w:val="center"/>
        <w:rPr>
          <w:b/>
          <w:sz w:val="28"/>
        </w:rPr>
      </w:pPr>
      <w:r w:rsidRPr="00744E17">
        <w:rPr>
          <w:b/>
          <w:sz w:val="28"/>
        </w:rPr>
        <w:t>DEFINIT</w:t>
      </w:r>
      <w:r>
        <w:rPr>
          <w:b/>
          <w:sz w:val="28"/>
        </w:rPr>
        <w:t>I</w:t>
      </w:r>
      <w:r w:rsidRPr="00744E17">
        <w:rPr>
          <w:b/>
          <w:sz w:val="28"/>
        </w:rPr>
        <w:t>ONS</w:t>
      </w:r>
    </w:p>
    <w:p w14:paraId="71AB042F" w14:textId="77777777" w:rsidR="00744E17" w:rsidRPr="00087EA7" w:rsidRDefault="00744E17" w:rsidP="00744E17">
      <w:pPr>
        <w:pBdr>
          <w:top w:val="nil"/>
          <w:left w:val="nil"/>
          <w:bottom w:val="nil"/>
          <w:right w:val="nil"/>
          <w:between w:val="nil"/>
        </w:pBdr>
        <w:shd w:val="clear" w:color="auto" w:fill="FFFFFF"/>
        <w:rPr>
          <w:rFonts w:asciiTheme="minorHAnsi" w:hAnsiTheme="minorHAnsi" w:cstheme="minorHAnsi"/>
          <w:b/>
          <w:bCs/>
          <w:sz w:val="20"/>
          <w:szCs w:val="20"/>
          <w:u w:val="single"/>
        </w:rPr>
      </w:pPr>
    </w:p>
    <w:p w14:paraId="64029556" w14:textId="6F343A4B" w:rsidR="00744E17" w:rsidRPr="00087EA7" w:rsidRDefault="00744E17" w:rsidP="00087EA7">
      <w:pPr>
        <w:pBdr>
          <w:top w:val="nil"/>
          <w:left w:val="nil"/>
          <w:bottom w:val="nil"/>
          <w:right w:val="nil"/>
          <w:between w:val="nil"/>
        </w:pBdr>
        <w:shd w:val="clear" w:color="auto" w:fill="FFFFFF"/>
        <w:jc w:val="center"/>
        <w:rPr>
          <w:rFonts w:asciiTheme="minorHAnsi" w:hAnsiTheme="minorHAnsi" w:cstheme="minorHAnsi"/>
          <w:sz w:val="28"/>
          <w:szCs w:val="28"/>
          <w:u w:val="single"/>
        </w:rPr>
      </w:pPr>
      <w:r w:rsidRPr="00744E17">
        <w:rPr>
          <w:rFonts w:asciiTheme="minorHAnsi" w:hAnsiTheme="minorHAnsi" w:cstheme="minorHAnsi"/>
          <w:b/>
          <w:bCs/>
          <w:sz w:val="28"/>
          <w:szCs w:val="28"/>
          <w:u w:val="single"/>
        </w:rPr>
        <w:t xml:space="preserve">A Survivor of Domestic Violence </w:t>
      </w:r>
      <w:r w:rsidR="00F517BE">
        <w:rPr>
          <w:rFonts w:asciiTheme="minorHAnsi" w:hAnsiTheme="minorHAnsi" w:cstheme="minorHAnsi"/>
          <w:b/>
          <w:bCs/>
          <w:sz w:val="28"/>
          <w:szCs w:val="28"/>
          <w:u w:val="single"/>
        </w:rPr>
        <w:t>or</w:t>
      </w:r>
      <w:r w:rsidRPr="00744E17">
        <w:rPr>
          <w:rFonts w:asciiTheme="minorHAnsi" w:hAnsiTheme="minorHAnsi" w:cstheme="minorHAnsi"/>
          <w:b/>
          <w:bCs/>
          <w:sz w:val="28"/>
          <w:szCs w:val="28"/>
          <w:u w:val="single"/>
        </w:rPr>
        <w:t xml:space="preserve"> Human Trafficking</w:t>
      </w:r>
    </w:p>
    <w:p w14:paraId="5227E93F" w14:textId="77777777" w:rsidR="00744E17" w:rsidRPr="00744E17" w:rsidRDefault="00744E17" w:rsidP="00744E17">
      <w:pPr>
        <w:pStyle w:val="ListParagraph"/>
        <w:widowControl/>
        <w:numPr>
          <w:ilvl w:val="0"/>
          <w:numId w:val="2"/>
        </w:numPr>
        <w:pBdr>
          <w:top w:val="nil"/>
          <w:left w:val="nil"/>
          <w:bottom w:val="nil"/>
          <w:right w:val="nil"/>
          <w:between w:val="nil"/>
        </w:pBdr>
        <w:shd w:val="clear" w:color="auto" w:fill="FFFFFF"/>
        <w:autoSpaceDE/>
        <w:autoSpaceDN/>
        <w:spacing w:before="0"/>
        <w:contextualSpacing/>
        <w:rPr>
          <w:rFonts w:asciiTheme="minorHAnsi" w:hAnsiTheme="minorHAnsi" w:cstheme="minorHAnsi"/>
        </w:rPr>
      </w:pPr>
      <w:r w:rsidRPr="00744E17">
        <w:rPr>
          <w:rFonts w:asciiTheme="minorHAnsi" w:hAnsiTheme="minorHAnsi" w:cstheme="minorHAnsi"/>
        </w:rPr>
        <w:t>Domestic Violence is a pattern of behaviors used by one partner to maintain power and control over another partner in an intimate relationship.</w:t>
      </w:r>
    </w:p>
    <w:p w14:paraId="602BEA08" w14:textId="77777777" w:rsidR="00744E17" w:rsidRPr="00744E17" w:rsidRDefault="00744E17" w:rsidP="00744E17">
      <w:pPr>
        <w:pStyle w:val="ListParagraph"/>
        <w:widowControl/>
        <w:numPr>
          <w:ilvl w:val="0"/>
          <w:numId w:val="2"/>
        </w:numPr>
        <w:pBdr>
          <w:top w:val="nil"/>
          <w:left w:val="nil"/>
          <w:bottom w:val="nil"/>
          <w:right w:val="nil"/>
          <w:between w:val="nil"/>
        </w:pBdr>
        <w:shd w:val="clear" w:color="auto" w:fill="FFFFFF"/>
        <w:autoSpaceDE/>
        <w:autoSpaceDN/>
        <w:spacing w:before="0"/>
        <w:contextualSpacing/>
        <w:rPr>
          <w:rFonts w:asciiTheme="minorHAnsi" w:hAnsiTheme="minorHAnsi" w:cstheme="minorHAnsi"/>
        </w:rPr>
      </w:pPr>
      <w:r w:rsidRPr="00744E17">
        <w:rPr>
          <w:rFonts w:asciiTheme="minorHAnsi" w:hAnsiTheme="minorHAnsi" w:cstheme="minorHAnsi"/>
        </w:rPr>
        <w:t>Human Trafficking is the action of illegally transporting people, through the use of force, fraud, or coercion, from one area to another, typically for the purposes of forced labor or sexual exploitation.</w:t>
      </w:r>
    </w:p>
    <w:p w14:paraId="1F47422A" w14:textId="77777777" w:rsidR="00744E17" w:rsidRPr="00087EA7" w:rsidRDefault="00744E17" w:rsidP="00744E17">
      <w:pPr>
        <w:spacing w:before="19"/>
        <w:ind w:right="3660"/>
        <w:rPr>
          <w:b/>
          <w:sz w:val="14"/>
          <w:szCs w:val="14"/>
          <w:u w:val="single"/>
        </w:rPr>
      </w:pPr>
    </w:p>
    <w:p w14:paraId="0BB7E1D1" w14:textId="18F58DA2" w:rsidR="008D236B" w:rsidRDefault="00FB64AE" w:rsidP="00744E17">
      <w:pPr>
        <w:spacing w:before="19"/>
        <w:ind w:left="3782" w:right="3660"/>
        <w:rPr>
          <w:b/>
          <w:sz w:val="28"/>
        </w:rPr>
      </w:pPr>
      <w:r>
        <w:rPr>
          <w:b/>
          <w:sz w:val="28"/>
          <w:u w:val="single"/>
        </w:rPr>
        <w:t>Dislocated Worker Definitions</w:t>
      </w:r>
    </w:p>
    <w:p w14:paraId="285ECB78" w14:textId="77777777" w:rsidR="008D236B" w:rsidRDefault="008D236B">
      <w:pPr>
        <w:pStyle w:val="BodyText"/>
        <w:spacing w:before="10"/>
        <w:ind w:left="0" w:firstLine="0"/>
        <w:rPr>
          <w:b/>
          <w:sz w:val="12"/>
        </w:rPr>
      </w:pPr>
    </w:p>
    <w:p w14:paraId="2AE24784" w14:textId="19E7FC80" w:rsidR="008D236B" w:rsidRPr="00087EA7" w:rsidRDefault="00FB64AE" w:rsidP="00087EA7">
      <w:pPr>
        <w:spacing w:before="52"/>
        <w:ind w:left="888"/>
        <w:rPr>
          <w:b/>
          <w:sz w:val="24"/>
        </w:rPr>
      </w:pPr>
      <w:r>
        <w:rPr>
          <w:b/>
          <w:sz w:val="24"/>
        </w:rPr>
        <w:t>Reference Workforce Innovation and Opportunity Act (WIOA) Section 3(15) as a person who</w:t>
      </w:r>
    </w:p>
    <w:p w14:paraId="45DE6826" w14:textId="77777777" w:rsidR="008D236B" w:rsidRDefault="00FB64AE">
      <w:pPr>
        <w:pStyle w:val="Heading1"/>
        <w:spacing w:before="1"/>
      </w:pPr>
      <w:r>
        <w:t>Category 1 – DW</w:t>
      </w:r>
    </w:p>
    <w:p w14:paraId="004E4171" w14:textId="77777777" w:rsidR="008D236B" w:rsidRDefault="00FB64AE">
      <w:pPr>
        <w:pStyle w:val="ListParagraph"/>
        <w:numPr>
          <w:ilvl w:val="0"/>
          <w:numId w:val="1"/>
        </w:numPr>
        <w:tabs>
          <w:tab w:val="left" w:pos="825"/>
          <w:tab w:val="left" w:pos="827"/>
        </w:tabs>
        <w:spacing w:before="72"/>
        <w:ind w:hanging="362"/>
        <w:rPr>
          <w:b/>
        </w:rPr>
      </w:pPr>
      <w:r>
        <w:t>Has</w:t>
      </w:r>
      <w:r>
        <w:rPr>
          <w:spacing w:val="-1"/>
        </w:rPr>
        <w:t xml:space="preserve"> </w:t>
      </w:r>
      <w:r>
        <w:t>been terminated</w:t>
      </w:r>
      <w:r>
        <w:rPr>
          <w:spacing w:val="-4"/>
        </w:rPr>
        <w:t xml:space="preserve"> </w:t>
      </w:r>
      <w:r>
        <w:t>or laid</w:t>
      </w:r>
      <w:r>
        <w:rPr>
          <w:spacing w:val="-2"/>
        </w:rPr>
        <w:t xml:space="preserve"> </w:t>
      </w:r>
      <w:r>
        <w:t>off,</w:t>
      </w:r>
      <w:r>
        <w:rPr>
          <w:spacing w:val="-3"/>
        </w:rPr>
        <w:t xml:space="preserve"> </w:t>
      </w:r>
      <w:r>
        <w:t>or</w:t>
      </w:r>
      <w:r>
        <w:rPr>
          <w:spacing w:val="-3"/>
        </w:rPr>
        <w:t xml:space="preserve"> </w:t>
      </w:r>
      <w:r>
        <w:t>who</w:t>
      </w:r>
      <w:r>
        <w:rPr>
          <w:spacing w:val="1"/>
        </w:rPr>
        <w:t xml:space="preserve"> </w:t>
      </w:r>
      <w:r>
        <w:t>has</w:t>
      </w:r>
      <w:r>
        <w:rPr>
          <w:spacing w:val="-4"/>
        </w:rPr>
        <w:t xml:space="preserve"> </w:t>
      </w:r>
      <w:r>
        <w:t>received</w:t>
      </w:r>
      <w:r>
        <w:rPr>
          <w:spacing w:val="-2"/>
        </w:rPr>
        <w:t xml:space="preserve"> </w:t>
      </w:r>
      <w:r>
        <w:t>a</w:t>
      </w:r>
      <w:r>
        <w:rPr>
          <w:spacing w:val="-1"/>
        </w:rPr>
        <w:t xml:space="preserve"> </w:t>
      </w:r>
      <w:r>
        <w:t>notice</w:t>
      </w:r>
      <w:r>
        <w:rPr>
          <w:spacing w:val="-2"/>
        </w:rPr>
        <w:t xml:space="preserve"> </w:t>
      </w:r>
      <w:r>
        <w:t>of</w:t>
      </w:r>
      <w:r>
        <w:rPr>
          <w:spacing w:val="-1"/>
        </w:rPr>
        <w:t xml:space="preserve"> </w:t>
      </w:r>
      <w:r>
        <w:t>termination</w:t>
      </w:r>
      <w:r>
        <w:rPr>
          <w:spacing w:val="-3"/>
        </w:rPr>
        <w:t xml:space="preserve"> </w:t>
      </w:r>
      <w:r>
        <w:t>or</w:t>
      </w:r>
      <w:r>
        <w:rPr>
          <w:spacing w:val="-1"/>
        </w:rPr>
        <w:t xml:space="preserve"> </w:t>
      </w:r>
      <w:r>
        <w:t>layoff,</w:t>
      </w:r>
      <w:r>
        <w:rPr>
          <w:spacing w:val="-3"/>
        </w:rPr>
        <w:t xml:space="preserve"> </w:t>
      </w:r>
      <w:r>
        <w:t>from</w:t>
      </w:r>
      <w:r>
        <w:rPr>
          <w:spacing w:val="-2"/>
        </w:rPr>
        <w:t xml:space="preserve"> </w:t>
      </w:r>
      <w:r>
        <w:t>employment;</w:t>
      </w:r>
      <w:r>
        <w:rPr>
          <w:spacing w:val="-23"/>
        </w:rPr>
        <w:t xml:space="preserve"> </w:t>
      </w:r>
      <w:r>
        <w:rPr>
          <w:b/>
          <w:u w:val="single"/>
        </w:rPr>
        <w:t>and</w:t>
      </w:r>
    </w:p>
    <w:p w14:paraId="5531320A" w14:textId="77777777" w:rsidR="008D236B" w:rsidRDefault="00FB64AE">
      <w:pPr>
        <w:pStyle w:val="ListParagraph"/>
        <w:numPr>
          <w:ilvl w:val="0"/>
          <w:numId w:val="1"/>
        </w:numPr>
        <w:tabs>
          <w:tab w:val="left" w:pos="825"/>
          <w:tab w:val="left" w:pos="827"/>
        </w:tabs>
        <w:spacing w:before="48" w:line="247" w:lineRule="auto"/>
        <w:ind w:right="135"/>
        <w:rPr>
          <w:b/>
        </w:rPr>
      </w:pPr>
      <w:r>
        <w:t xml:space="preserve">Is eligible for </w:t>
      </w:r>
      <w:r>
        <w:rPr>
          <w:b/>
        </w:rPr>
        <w:t xml:space="preserve">or </w:t>
      </w:r>
      <w:r>
        <w:t xml:space="preserve">has exhausted entitlement to unemployment compensation; </w:t>
      </w:r>
      <w:r>
        <w:rPr>
          <w:b/>
        </w:rPr>
        <w:t xml:space="preserve">or </w:t>
      </w:r>
      <w:r>
        <w:t>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w:t>
      </w:r>
      <w:r>
        <w:rPr>
          <w:spacing w:val="1"/>
        </w:rPr>
        <w:t xml:space="preserve"> </w:t>
      </w:r>
      <w:r>
        <w:rPr>
          <w:b/>
          <w:u w:val="single"/>
        </w:rPr>
        <w:t>and</w:t>
      </w:r>
    </w:p>
    <w:p w14:paraId="149CB2F1" w14:textId="6BC4D372" w:rsidR="008D236B" w:rsidRPr="00744E17" w:rsidRDefault="00FB64AE" w:rsidP="00744E17">
      <w:pPr>
        <w:pStyle w:val="ListParagraph"/>
        <w:numPr>
          <w:ilvl w:val="0"/>
          <w:numId w:val="1"/>
        </w:numPr>
        <w:tabs>
          <w:tab w:val="left" w:pos="825"/>
          <w:tab w:val="left" w:pos="827"/>
        </w:tabs>
        <w:spacing w:before="67"/>
        <w:ind w:hanging="362"/>
      </w:pPr>
      <w:r>
        <w:t>Is unlikely to return to a previous industry or</w:t>
      </w:r>
      <w:r>
        <w:rPr>
          <w:spacing w:val="-14"/>
        </w:rPr>
        <w:t xml:space="preserve"> </w:t>
      </w:r>
      <w:r>
        <w:t>occupation.</w:t>
      </w:r>
    </w:p>
    <w:p w14:paraId="5A8973E8" w14:textId="77777777" w:rsidR="008D236B" w:rsidRDefault="00FB64AE">
      <w:pPr>
        <w:pStyle w:val="Heading1"/>
        <w:spacing w:before="194"/>
        <w:jc w:val="both"/>
      </w:pPr>
      <w:r>
        <w:t>Category 2 – DW mass layoff or closure</w:t>
      </w:r>
    </w:p>
    <w:p w14:paraId="66307980" w14:textId="1C207560" w:rsidR="008D236B" w:rsidRDefault="00FB64AE">
      <w:pPr>
        <w:pStyle w:val="ListParagraph"/>
        <w:numPr>
          <w:ilvl w:val="0"/>
          <w:numId w:val="1"/>
        </w:numPr>
        <w:tabs>
          <w:tab w:val="left" w:pos="827"/>
        </w:tabs>
        <w:spacing w:before="70" w:line="247" w:lineRule="auto"/>
        <w:ind w:right="292"/>
        <w:jc w:val="both"/>
      </w:pPr>
      <w:r>
        <w:t>Has been terminated or laid off, or has received a notice of termination</w:t>
      </w:r>
      <w:r>
        <w:rPr>
          <w:spacing w:val="-36"/>
        </w:rPr>
        <w:t xml:space="preserve"> </w:t>
      </w:r>
      <w:r>
        <w:t>or layoff, from employment as a result of any permanent closure of, or any substantial layoff at, a plant, facility,</w:t>
      </w:r>
      <w:r>
        <w:rPr>
          <w:spacing w:val="-19"/>
        </w:rPr>
        <w:t xml:space="preserve"> </w:t>
      </w:r>
      <w:r w:rsidR="00744E17">
        <w:t>or enterprise</w:t>
      </w:r>
      <w:r>
        <w:t>;</w:t>
      </w:r>
    </w:p>
    <w:p w14:paraId="6CB204C1" w14:textId="77777777" w:rsidR="008D236B" w:rsidRDefault="00FB64AE">
      <w:pPr>
        <w:pStyle w:val="ListParagraph"/>
        <w:numPr>
          <w:ilvl w:val="0"/>
          <w:numId w:val="1"/>
        </w:numPr>
        <w:tabs>
          <w:tab w:val="left" w:pos="827"/>
        </w:tabs>
        <w:spacing w:before="57" w:line="252" w:lineRule="auto"/>
        <w:ind w:right="401"/>
        <w:jc w:val="both"/>
        <w:rPr>
          <w:b/>
        </w:rPr>
      </w:pPr>
      <w:r>
        <w:t>Is employed at a facility at which the employer has made a general announcement that such facility will close within 180 days;</w:t>
      </w:r>
      <w:r>
        <w:rPr>
          <w:spacing w:val="-6"/>
        </w:rPr>
        <w:t xml:space="preserve"> </w:t>
      </w:r>
      <w:r>
        <w:rPr>
          <w:b/>
          <w:u w:val="single"/>
        </w:rPr>
        <w:t>or</w:t>
      </w:r>
    </w:p>
    <w:p w14:paraId="71C1A46E" w14:textId="3A659DE9" w:rsidR="008D236B" w:rsidRPr="00087EA7" w:rsidRDefault="00FB64AE" w:rsidP="00087EA7">
      <w:pPr>
        <w:pStyle w:val="ListParagraph"/>
        <w:numPr>
          <w:ilvl w:val="0"/>
          <w:numId w:val="1"/>
        </w:numPr>
        <w:tabs>
          <w:tab w:val="left" w:pos="827"/>
        </w:tabs>
        <w:spacing w:before="50" w:line="249" w:lineRule="auto"/>
        <w:ind w:right="381"/>
        <w:jc w:val="both"/>
      </w:pPr>
      <w:r>
        <w:t>For purposes of eligibility to receive services other than training services described in WIOA section 134(c)(3), career services described in section 134(c)(2)(A), or supportive services, is employed at a facility at which the employer has made a general announcement that such facility will</w:t>
      </w:r>
      <w:r>
        <w:rPr>
          <w:spacing w:val="-25"/>
        </w:rPr>
        <w:t xml:space="preserve"> </w:t>
      </w:r>
      <w:r>
        <w:t>close.</w:t>
      </w:r>
    </w:p>
    <w:p w14:paraId="2CCE0A3F" w14:textId="77777777" w:rsidR="008D236B" w:rsidRDefault="00FB64AE">
      <w:pPr>
        <w:pStyle w:val="Heading1"/>
      </w:pPr>
      <w:r>
        <w:t>Category 3 – DW self-employed</w:t>
      </w:r>
    </w:p>
    <w:p w14:paraId="7F29927C" w14:textId="76FBF5BA" w:rsidR="008D236B" w:rsidRPr="00087EA7" w:rsidRDefault="00FB64AE" w:rsidP="00087EA7">
      <w:pPr>
        <w:pStyle w:val="ListParagraph"/>
        <w:numPr>
          <w:ilvl w:val="0"/>
          <w:numId w:val="1"/>
        </w:numPr>
        <w:tabs>
          <w:tab w:val="left" w:pos="840"/>
          <w:tab w:val="left" w:pos="841"/>
        </w:tabs>
        <w:spacing w:before="24" w:line="249" w:lineRule="auto"/>
        <w:ind w:left="840" w:right="400"/>
      </w:pPr>
      <w:r>
        <w:t>Is self-employed (including employment as a farmer, a rancher, or a fisherman) but is unemployed as a result of general economic conditions in the community in which the individual resides or because of natural disasters.</w:t>
      </w:r>
    </w:p>
    <w:p w14:paraId="78E59C8C" w14:textId="77777777" w:rsidR="008D236B" w:rsidRDefault="00FB64AE">
      <w:pPr>
        <w:pStyle w:val="Heading1"/>
      </w:pPr>
      <w:r>
        <w:t>Category 4 – DW displaced homemaker</w:t>
      </w:r>
    </w:p>
    <w:p w14:paraId="1BB3B0A8" w14:textId="77777777" w:rsidR="008D236B" w:rsidRDefault="00FB64AE">
      <w:pPr>
        <w:pStyle w:val="ListParagraph"/>
        <w:numPr>
          <w:ilvl w:val="0"/>
          <w:numId w:val="1"/>
        </w:numPr>
        <w:tabs>
          <w:tab w:val="left" w:pos="840"/>
          <w:tab w:val="left" w:pos="841"/>
        </w:tabs>
        <w:spacing w:before="27"/>
        <w:ind w:left="840" w:right="98"/>
      </w:pPr>
      <w:r>
        <w:t>Is a displaced homemaker, who is defined in WIOA Section 3(16) as an individual who has been providing unpaid services to family members in the home and</w:t>
      </w:r>
      <w:r>
        <w:rPr>
          <w:spacing w:val="-5"/>
        </w:rPr>
        <w:t xml:space="preserve"> </w:t>
      </w:r>
      <w:r>
        <w:t>who—</w:t>
      </w:r>
    </w:p>
    <w:p w14:paraId="578CD201" w14:textId="77777777" w:rsidR="008D236B" w:rsidRDefault="00FB64AE">
      <w:pPr>
        <w:pStyle w:val="ListParagraph"/>
        <w:numPr>
          <w:ilvl w:val="1"/>
          <w:numId w:val="1"/>
        </w:numPr>
        <w:tabs>
          <w:tab w:val="left" w:pos="1833"/>
          <w:tab w:val="left" w:pos="1834"/>
        </w:tabs>
        <w:spacing w:before="67"/>
        <w:ind w:right="435"/>
        <w:rPr>
          <w:b/>
        </w:rPr>
      </w:pPr>
      <w:r>
        <w:t>Has been dependent on the income of another family member but is no longer supported by that income;</w:t>
      </w:r>
      <w:r>
        <w:rPr>
          <w:spacing w:val="-1"/>
        </w:rPr>
        <w:t xml:space="preserve"> </w:t>
      </w:r>
      <w:r>
        <w:rPr>
          <w:b/>
        </w:rPr>
        <w:t>or</w:t>
      </w:r>
    </w:p>
    <w:p w14:paraId="50615A50" w14:textId="77777777" w:rsidR="008D236B" w:rsidRDefault="00FB64AE">
      <w:pPr>
        <w:pStyle w:val="ListParagraph"/>
        <w:numPr>
          <w:ilvl w:val="1"/>
          <w:numId w:val="1"/>
        </w:numPr>
        <w:tabs>
          <w:tab w:val="left" w:pos="1833"/>
          <w:tab w:val="left" w:pos="1834"/>
        </w:tabs>
        <w:spacing w:before="73" w:line="244" w:lineRule="auto"/>
        <w:ind w:right="142"/>
        <w:rPr>
          <w:b/>
        </w:rPr>
      </w:pPr>
      <w:r>
        <w:t>Is the dependent spouse of a member of the Armed forces on active duty [as defined in section 101(d)(1) of title 10, United States code] and whose family income is significantly reduced because of a deployment [as defined in section 991(b) of title 10, United States Code], a call or order to active duty pursuant to a provision of law [referred to in section 101(a)(13)(B) of title 10, United States Code], a permanent change of station, or the service-connected [as defined in section 101(16) of title 38, United States Code] death or disability of the member;</w:t>
      </w:r>
      <w:r>
        <w:rPr>
          <w:spacing w:val="-27"/>
        </w:rPr>
        <w:t xml:space="preserve"> </w:t>
      </w:r>
      <w:r>
        <w:rPr>
          <w:b/>
        </w:rPr>
        <w:t>and</w:t>
      </w:r>
    </w:p>
    <w:p w14:paraId="43EF2232" w14:textId="1E22035E" w:rsidR="008D236B" w:rsidRPr="00087EA7" w:rsidRDefault="00FB64AE" w:rsidP="00087EA7">
      <w:pPr>
        <w:pStyle w:val="ListParagraph"/>
        <w:numPr>
          <w:ilvl w:val="1"/>
          <w:numId w:val="1"/>
        </w:numPr>
        <w:tabs>
          <w:tab w:val="left" w:pos="1833"/>
          <w:tab w:val="left" w:pos="1834"/>
        </w:tabs>
        <w:spacing w:before="78" w:line="235" w:lineRule="auto"/>
        <w:ind w:right="1205"/>
      </w:pPr>
      <w:r>
        <w:t>Is unemployed or underemployed and is experiencing difficulty in obtaining or upgrading employment.</w:t>
      </w:r>
    </w:p>
    <w:p w14:paraId="47FFAA36" w14:textId="77777777" w:rsidR="008D236B" w:rsidRDefault="00FB64AE">
      <w:pPr>
        <w:pStyle w:val="Heading1"/>
      </w:pPr>
      <w:r>
        <w:t>Category 5 – DW spouse of a member of the Armed Forces</w:t>
      </w:r>
    </w:p>
    <w:p w14:paraId="3631AF7C" w14:textId="77777777" w:rsidR="008D236B" w:rsidRDefault="00FB64AE">
      <w:pPr>
        <w:pStyle w:val="ListParagraph"/>
        <w:numPr>
          <w:ilvl w:val="0"/>
          <w:numId w:val="1"/>
        </w:numPr>
        <w:tabs>
          <w:tab w:val="left" w:pos="825"/>
          <w:tab w:val="left" w:pos="827"/>
        </w:tabs>
        <w:spacing w:before="25" w:line="249" w:lineRule="auto"/>
        <w:ind w:right="639"/>
        <w:rPr>
          <w:b/>
        </w:rPr>
      </w:pPr>
      <w:r>
        <w:t>Is a spouse of a member of the Armed Forces on active duty [as defined in section 101(d)(1) of the title 10, United States Code], and who has experienced a loss of employment as a direct result of relocation to accommodate a permanent change in duty station of such member;</w:t>
      </w:r>
      <w:r>
        <w:rPr>
          <w:spacing w:val="-16"/>
        </w:rPr>
        <w:t xml:space="preserve"> </w:t>
      </w:r>
      <w:r>
        <w:rPr>
          <w:b/>
          <w:spacing w:val="-4"/>
          <w:u w:val="single"/>
        </w:rPr>
        <w:t>or</w:t>
      </w:r>
    </w:p>
    <w:p w14:paraId="2B260808" w14:textId="77777777" w:rsidR="008D236B" w:rsidRDefault="00FB64AE">
      <w:pPr>
        <w:pStyle w:val="ListParagraph"/>
        <w:numPr>
          <w:ilvl w:val="0"/>
          <w:numId w:val="1"/>
        </w:numPr>
        <w:tabs>
          <w:tab w:val="left" w:pos="825"/>
          <w:tab w:val="left" w:pos="827"/>
        </w:tabs>
        <w:spacing w:line="249" w:lineRule="auto"/>
        <w:ind w:right="307"/>
      </w:pPr>
      <w:r>
        <w:t>Is the spouse of a member of the Armed Forces on active duty and who is unemployed or underemployed and is experiencing difficulty in obtaining or upgrading</w:t>
      </w:r>
      <w:r>
        <w:rPr>
          <w:spacing w:val="-12"/>
        </w:rPr>
        <w:t xml:space="preserve"> </w:t>
      </w:r>
      <w:r>
        <w:t>employment.</w:t>
      </w:r>
    </w:p>
    <w:sectPr w:rsidR="008D236B">
      <w:type w:val="continuous"/>
      <w:pgSz w:w="12240" w:h="15840"/>
      <w:pgMar w:top="70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8385C"/>
    <w:multiLevelType w:val="hybridMultilevel"/>
    <w:tmpl w:val="A4FA7F7C"/>
    <w:lvl w:ilvl="0" w:tplc="1DC6B95A">
      <w:numFmt w:val="bullet"/>
      <w:lvlText w:val="•"/>
      <w:lvlJc w:val="left"/>
      <w:pPr>
        <w:ind w:left="826" w:hanging="361"/>
      </w:pPr>
      <w:rPr>
        <w:rFonts w:ascii="Arial" w:eastAsia="Arial" w:hAnsi="Arial" w:cs="Arial" w:hint="default"/>
        <w:w w:val="100"/>
        <w:sz w:val="22"/>
        <w:szCs w:val="22"/>
        <w:lang w:val="en-US" w:eastAsia="en-US" w:bidi="en-US"/>
      </w:rPr>
    </w:lvl>
    <w:lvl w:ilvl="1" w:tplc="39001F80">
      <w:numFmt w:val="bullet"/>
      <w:lvlText w:val="o"/>
      <w:lvlJc w:val="left"/>
      <w:pPr>
        <w:ind w:left="1834" w:hanging="360"/>
      </w:pPr>
      <w:rPr>
        <w:rFonts w:ascii="Courier New" w:eastAsia="Courier New" w:hAnsi="Courier New" w:cs="Courier New" w:hint="default"/>
        <w:w w:val="100"/>
        <w:sz w:val="22"/>
        <w:szCs w:val="22"/>
        <w:lang w:val="en-US" w:eastAsia="en-US" w:bidi="en-US"/>
      </w:rPr>
    </w:lvl>
    <w:lvl w:ilvl="2" w:tplc="F934D7EA">
      <w:numFmt w:val="bullet"/>
      <w:lvlText w:val="•"/>
      <w:lvlJc w:val="left"/>
      <w:pPr>
        <w:ind w:left="2855" w:hanging="360"/>
      </w:pPr>
      <w:rPr>
        <w:rFonts w:hint="default"/>
        <w:lang w:val="en-US" w:eastAsia="en-US" w:bidi="en-US"/>
      </w:rPr>
    </w:lvl>
    <w:lvl w:ilvl="3" w:tplc="E96C791A">
      <w:numFmt w:val="bullet"/>
      <w:lvlText w:val="•"/>
      <w:lvlJc w:val="left"/>
      <w:pPr>
        <w:ind w:left="3871" w:hanging="360"/>
      </w:pPr>
      <w:rPr>
        <w:rFonts w:hint="default"/>
        <w:lang w:val="en-US" w:eastAsia="en-US" w:bidi="en-US"/>
      </w:rPr>
    </w:lvl>
    <w:lvl w:ilvl="4" w:tplc="54407238">
      <w:numFmt w:val="bullet"/>
      <w:lvlText w:val="•"/>
      <w:lvlJc w:val="left"/>
      <w:pPr>
        <w:ind w:left="4886" w:hanging="360"/>
      </w:pPr>
      <w:rPr>
        <w:rFonts w:hint="default"/>
        <w:lang w:val="en-US" w:eastAsia="en-US" w:bidi="en-US"/>
      </w:rPr>
    </w:lvl>
    <w:lvl w:ilvl="5" w:tplc="6FB260F2">
      <w:numFmt w:val="bullet"/>
      <w:lvlText w:val="•"/>
      <w:lvlJc w:val="left"/>
      <w:pPr>
        <w:ind w:left="5902" w:hanging="360"/>
      </w:pPr>
      <w:rPr>
        <w:rFonts w:hint="default"/>
        <w:lang w:val="en-US" w:eastAsia="en-US" w:bidi="en-US"/>
      </w:rPr>
    </w:lvl>
    <w:lvl w:ilvl="6" w:tplc="A13022BA">
      <w:numFmt w:val="bullet"/>
      <w:lvlText w:val="•"/>
      <w:lvlJc w:val="left"/>
      <w:pPr>
        <w:ind w:left="6917" w:hanging="360"/>
      </w:pPr>
      <w:rPr>
        <w:rFonts w:hint="default"/>
        <w:lang w:val="en-US" w:eastAsia="en-US" w:bidi="en-US"/>
      </w:rPr>
    </w:lvl>
    <w:lvl w:ilvl="7" w:tplc="B47210CA">
      <w:numFmt w:val="bullet"/>
      <w:lvlText w:val="•"/>
      <w:lvlJc w:val="left"/>
      <w:pPr>
        <w:ind w:left="7933" w:hanging="360"/>
      </w:pPr>
      <w:rPr>
        <w:rFonts w:hint="default"/>
        <w:lang w:val="en-US" w:eastAsia="en-US" w:bidi="en-US"/>
      </w:rPr>
    </w:lvl>
    <w:lvl w:ilvl="8" w:tplc="8416B70E">
      <w:numFmt w:val="bullet"/>
      <w:lvlText w:val="•"/>
      <w:lvlJc w:val="left"/>
      <w:pPr>
        <w:ind w:left="8948" w:hanging="360"/>
      </w:pPr>
      <w:rPr>
        <w:rFonts w:hint="default"/>
        <w:lang w:val="en-US" w:eastAsia="en-US" w:bidi="en-US"/>
      </w:rPr>
    </w:lvl>
  </w:abstractNum>
  <w:abstractNum w:abstractNumId="1" w15:restartNumberingAfterBreak="0">
    <w:nsid w:val="56163EE5"/>
    <w:multiLevelType w:val="hybridMultilevel"/>
    <w:tmpl w:val="4816F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6B"/>
    <w:rsid w:val="00087EA7"/>
    <w:rsid w:val="00232D99"/>
    <w:rsid w:val="003C45F6"/>
    <w:rsid w:val="00744E17"/>
    <w:rsid w:val="008D236B"/>
    <w:rsid w:val="009F44E0"/>
    <w:rsid w:val="00F517BE"/>
    <w:rsid w:val="00FB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8A23"/>
  <w15:docId w15:val="{D56FBEB7-D1FA-4EC0-9F65-FEC1A324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hanging="361"/>
    </w:pPr>
  </w:style>
  <w:style w:type="paragraph" w:styleId="ListParagraph">
    <w:name w:val="List Paragraph"/>
    <w:basedOn w:val="Normal"/>
    <w:uiPriority w:val="34"/>
    <w:qFormat/>
    <w:pPr>
      <w:spacing w:before="21"/>
      <w:ind w:left="82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3022</Characters>
  <Application>Microsoft Office Word</Application>
  <DocSecurity>0</DocSecurity>
  <Lines>25</Lines>
  <Paragraphs>7</Paragraphs>
  <ScaleCrop>false</ScaleCrop>
  <Company>City of Los Angeles - EWDD</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usfkjd</dc:creator>
  <cp:lastModifiedBy>Heidi Roberts</cp:lastModifiedBy>
  <cp:revision>2</cp:revision>
  <dcterms:created xsi:type="dcterms:W3CDTF">2020-06-04T17:53:00Z</dcterms:created>
  <dcterms:modified xsi:type="dcterms:W3CDTF">2020-06-04T17:53:00Z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2013</vt:lpwstr>
  </property>
  <property fmtid="{D5CDD505-2E9C-101B-9397-08002B2CF9AE}" pid="4" name="LastSaved">
    <vt:filetime>2020-05-19T00:00:00Z</vt:filetime>
  </property>
</Properties>
</file>